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Resposta a pedido de esclarecimento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Formulante: Vinicius Almeida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Referência: Concorrência 04/2019</w:t>
      </w:r>
    </w:p>
    <w:p>
      <w:pPr>
        <w:pStyle w:val="Normal"/>
        <w:spacing w:lineRule="auto" w:line="36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114" w:after="11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Prezado licitante, agradecemos o contato.</w:t>
      </w:r>
    </w:p>
    <w:p>
      <w:pPr>
        <w:pStyle w:val="Normal"/>
        <w:spacing w:lineRule="auto" w:line="360" w:before="114" w:after="11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Em atenção ao questionamento formulado, as seguintes considerações devem ser tecidas. </w:t>
      </w:r>
      <w:r>
        <w:rPr>
          <w:rFonts w:ascii="Arial" w:hAnsi="Arial"/>
          <w:sz w:val="24"/>
          <w:szCs w:val="24"/>
        </w:rPr>
        <w:t>Primeiramente, cumpre esclarecer que a exigência feita pelo edital diz respeito à qualificação técnico-operacional e não à qualificação técnic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-profissional. A respeito da capacidade técnico-operacional, Justen Filho dispõe que:</w:t>
      </w:r>
    </w:p>
    <w:p>
      <w:pPr>
        <w:pStyle w:val="Normal"/>
        <w:spacing w:lineRule="auto" w:line="360" w:before="114" w:after="114"/>
        <w:ind w:left="2268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qualificação técnica operacional consiste em qualidade pertinente às empresas que participam da licitação. Envolve a comprovação de que a empresa, como unidade jurídica e econômica, participara anteriormente de contrato cujo objeto era similar ao previsto para a contratação almejada pela Administração Pública. </w:t>
      </w:r>
    </w:p>
    <w:p>
      <w:pPr>
        <w:pStyle w:val="Normal"/>
        <w:spacing w:lineRule="auto" w:line="360" w:before="114" w:after="114"/>
        <w:ind w:left="2268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(FILHO, Marçal Justen. Comentários à lei de licitações e contratos administrativos. Pg. 726. São Paulo: Thomson Reuters Brasil, 2019)</w:t>
      </w:r>
    </w:p>
    <w:p>
      <w:pPr>
        <w:pStyle w:val="Normal"/>
        <w:spacing w:lineRule="auto" w:line="360" w:before="114" w:after="114"/>
        <w:ind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Não se deve confundir uma qualificação com a outra, vez que contém significação bem distintas. A qualificação técnico-operacional, exigida no edital, diz respeito à empresa e, por isso, o documento deve estar em nome desta. A possibilidade, inclusive, encontra amparo na jurisprudência do TCU. Que diz:</w:t>
      </w:r>
    </w:p>
    <w:p>
      <w:pPr>
        <w:pStyle w:val="Normal"/>
        <w:spacing w:lineRule="auto" w:line="360" w:before="114" w:after="114"/>
        <w:ind w:left="2268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 diversas assentadas, este Tribunal reconheceu como válida a exigência de comprovação de ambos os ângulos da capacidade técnica, que deverá abranger tanto </w:t>
      </w:r>
      <w:r>
        <w:rPr>
          <w:rFonts w:ascii="Arial" w:hAnsi="Arial"/>
          <w:b/>
          <w:bCs/>
          <w:sz w:val="20"/>
          <w:szCs w:val="20"/>
          <w:u w:val="single"/>
        </w:rPr>
        <w:t>o aspecto operacional (demonstração de possuir aptidão para o desempenho de atividade pertinente e compatível com o objeto do certame)</w:t>
      </w:r>
      <w:r>
        <w:rPr>
          <w:rFonts w:ascii="Arial" w:hAnsi="Arial"/>
          <w:sz w:val="20"/>
          <w:szCs w:val="20"/>
        </w:rPr>
        <w:t xml:space="preserve"> como o profissional (deter, no quadro permanente, profissionais aptos a executar serviço de características semelhantes àquele pretendido pela Administração).</w:t>
      </w:r>
    </w:p>
    <w:p>
      <w:pPr>
        <w:pStyle w:val="Normal"/>
        <w:spacing w:lineRule="auto" w:line="360" w:before="0" w:after="0"/>
        <w:ind w:left="2268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(Acórdão 1.265/2009, Plenário, rel. Min. Benjamin Zymler) – </w:t>
      </w:r>
      <w:r>
        <w:rPr>
          <w:rFonts w:ascii="Arial" w:hAnsi="Arial"/>
          <w:sz w:val="20"/>
          <w:szCs w:val="20"/>
        </w:rPr>
        <w:t>Grifo e sublinhado nosso</w:t>
      </w:r>
    </w:p>
    <w:p>
      <w:pPr>
        <w:pStyle w:val="Normal"/>
        <w:spacing w:lineRule="auto" w:line="360" w:before="171" w:after="171"/>
        <w:ind w:left="2268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distinção entre os conceitos de qualificação técnico-operacional e técnico-profissional apresenta-se estabelecida na Lei 8.666/93 e na jurisprudência desta Casa. De acordo com a lição contida no Acórdão 2.208/2016-TCU-Plenário, que analisou detidamente a questão, </w:t>
      </w:r>
      <w:r>
        <w:rPr>
          <w:rFonts w:ascii="Arial" w:hAnsi="Arial"/>
          <w:b/>
          <w:bCs/>
          <w:sz w:val="20"/>
          <w:szCs w:val="20"/>
          <w:u w:val="single"/>
        </w:rPr>
        <w:t>a capacidade técnico-operacional concerne à empresa,</w:t>
      </w:r>
      <w:r>
        <w:rPr>
          <w:rFonts w:ascii="Arial" w:hAnsi="Arial"/>
          <w:sz w:val="20"/>
          <w:szCs w:val="20"/>
        </w:rPr>
        <w:t xml:space="preserve"> visto que o dispositivo que trata do assunto (art. 30, II) faz referência a aspectos típicos deste ente, como instalações, equipamentos e equipe, ao passo que a capacidade técnico-profissional relaciona-se ao especialista que atua na empresa, conforme expresso no dispositivo correspondente (art. 30, § 1º, inciso I) que remete especificamente ao profissional detentor do atestado.</w:t>
      </w:r>
    </w:p>
    <w:p>
      <w:pPr>
        <w:pStyle w:val="Normal"/>
        <w:spacing w:lineRule="auto" w:line="360" w:before="0" w:after="0"/>
        <w:ind w:left="2268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(Acórdão 1.674/2018, Plenário, rel. Min. Augusto Nardes) – </w:t>
      </w:r>
      <w:r>
        <w:rPr>
          <w:rFonts w:ascii="Arial" w:hAnsi="Arial"/>
          <w:sz w:val="20"/>
          <w:szCs w:val="20"/>
        </w:rPr>
        <w:t>Grifo e sublinhado nosso</w:t>
      </w:r>
    </w:p>
    <w:p>
      <w:pPr>
        <w:pStyle w:val="Normal"/>
        <w:spacing w:lineRule="auto" w:line="360" w:before="114" w:after="11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Perceba que se trata de duas capacidades distintas, conforme mencionado acima. O que a presente licitação exige, </w:t>
      </w:r>
      <w:r>
        <w:rPr>
          <w:rFonts w:ascii="Arial" w:hAnsi="Arial"/>
          <w:sz w:val="24"/>
          <w:szCs w:val="24"/>
        </w:rPr>
        <w:t xml:space="preserve">repita-se, </w:t>
      </w:r>
      <w:r>
        <w:rPr>
          <w:rFonts w:ascii="Arial" w:hAnsi="Arial"/>
          <w:sz w:val="24"/>
          <w:szCs w:val="24"/>
        </w:rPr>
        <w:t xml:space="preserve">é a comprovação de aptidão da licitante para o desempenho de atividade compatível com o objeto licitado (capacidade técnico-operacional).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Importante esclarecer, ainda, que o edital sequer exige a apresentação da CAT, visto que ela se destinaria a comprovar a qualificação técnico-profissional, o que não foi exigido no presente edital, conforme se depreende da cláusula 5.6, b, abaixo colacionada:</w:t>
      </w:r>
    </w:p>
    <w:p>
      <w:pPr>
        <w:pStyle w:val="Normal"/>
        <w:spacing w:lineRule="auto" w:line="360" w:before="114" w:after="114"/>
        <w:ind w:left="2268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5.6 – DOCUMENTOS RELATIVOS À QUALIFICAÇÃO TÉCNICA:</w:t>
      </w:r>
    </w:p>
    <w:p>
      <w:pPr>
        <w:pStyle w:val="Normal"/>
        <w:spacing w:lineRule="auto" w:line="360" w:before="114" w:after="114"/>
        <w:ind w:left="2268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apresentação de Atestado de Capacidade Técnica emitido por pessoa jurídica de direito público ou privado, devidamente identificado no documento, comprovando que a empresa exerce ou já exerceu, satisfatoriamente, execução de obra ou de reforma predial.</w:t>
      </w:r>
    </w:p>
    <w:p>
      <w:pPr>
        <w:pStyle w:val="Normal"/>
        <w:spacing w:lineRule="auto" w:line="360" w:before="114" w:after="114"/>
        <w:ind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Desta maneira, </w:t>
      </w:r>
      <w:r>
        <w:rPr>
          <w:rFonts w:ascii="Arial" w:hAnsi="Arial"/>
          <w:sz w:val="24"/>
          <w:szCs w:val="24"/>
        </w:rPr>
        <w:t>não há nenhuma</w:t>
      </w:r>
      <w:r>
        <w:rPr>
          <w:rFonts w:ascii="Arial" w:hAnsi="Arial"/>
          <w:sz w:val="24"/>
          <w:szCs w:val="24"/>
        </w:rPr>
        <w:t xml:space="preserve"> ilegalidade na exigência editalícia e, muito menos, impossibilidade de cumprimento. A CPL esclarece, portanto, que o atestado referido na cláusula acima diz respeito à capacidade técnico-operacional da empresa, devendo ser apresentado em nome dela, não sendo necessária a apresentação de Certidão de Acervo Técnico.</w:t>
      </w:r>
    </w:p>
    <w:p>
      <w:pPr>
        <w:pStyle w:val="Normal"/>
        <w:spacing w:lineRule="auto" w:line="360" w:before="114" w:after="114"/>
        <w:ind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114" w:after="114"/>
        <w:ind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Cordialmente,</w:t>
      </w:r>
    </w:p>
    <w:p>
      <w:pPr>
        <w:pStyle w:val="Normal"/>
        <w:spacing w:lineRule="auto" w:line="360" w:before="114" w:after="114"/>
        <w:ind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Comissão Permanente de Licitação</w:t>
      </w:r>
    </w:p>
    <w:sectPr>
      <w:headerReference w:type="default" r:id="rId2"/>
      <w:type w:val="nextPage"/>
      <w:pgSz w:w="11906" w:h="16838"/>
      <w:pgMar w:left="1134" w:right="1134" w:header="1134" w:top="2648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381625" cy="781685"/>
          <wp:effectExtent l="0" t="0" r="0" b="0"/>
          <wp:docPr id="1" name="lightboxImag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htboxImag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2" r="-4" b="-32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LibreOffice/6.1.3.2$Windows_X86_64 LibreOffice_project/86daf60bf00efa86ad547e59e09d6bb77c699acb</Application>
  <Pages>2</Pages>
  <Words>514</Words>
  <Characters>3231</Characters>
  <CharactersWithSpaces>3738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2019-06-12T15:51:01Z</dcterms:created>
  <dc:creator/>
  <dc:description/>
  <dc:language>pt-BR</dc:language>
  <cp:lastModifiedBy/>
  <dcterms:modified xsi:type="dcterms:W3CDTF">2019-06-12T16:41:57Z</dcterms:modified>
  <cp:revision>1</cp:revision>
  <dc:subject/>
  <dc:title/>
</cp:coreProperties>
</file>